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C9D" w:rsidRDefault="00761C9D" w:rsidP="00761C9D">
      <w:pPr>
        <w:pStyle w:val="Margen"/>
        <w:spacing w:line="120" w:lineRule="atLeast"/>
        <w:jc w:val="right"/>
        <w:rPr>
          <w:sz w:val="20"/>
        </w:rPr>
      </w:pPr>
    </w:p>
    <w:p w:rsidR="00376EF0" w:rsidRDefault="00376EF0" w:rsidP="00376EF0">
      <w:pPr>
        <w:pStyle w:val="Margen"/>
        <w:spacing w:line="120" w:lineRule="atLeast"/>
        <w:rPr>
          <w:b/>
          <w:sz w:val="20"/>
        </w:rPr>
      </w:pPr>
      <w:r>
        <w:rPr>
          <w:b/>
          <w:sz w:val="20"/>
        </w:rPr>
        <w:t>Tema: Despidos incausados: procedimiento previo.</w:t>
      </w:r>
    </w:p>
    <w:p w:rsidR="00376EF0" w:rsidRDefault="00376EF0" w:rsidP="00376EF0">
      <w:pPr>
        <w:pStyle w:val="Margen"/>
        <w:spacing w:line="120" w:lineRule="atLeast"/>
        <w:rPr>
          <w:i/>
          <w:sz w:val="20"/>
        </w:rPr>
      </w:pPr>
      <w:r>
        <w:rPr>
          <w:sz w:val="20"/>
        </w:rPr>
        <w:t xml:space="preserve">El decreto </w:t>
      </w:r>
      <w:r w:rsidRPr="00623613">
        <w:rPr>
          <w:i/>
          <w:sz w:val="20"/>
        </w:rPr>
        <w:t>de necesidad y urgencia</w:t>
      </w:r>
      <w:r>
        <w:rPr>
          <w:sz w:val="20"/>
        </w:rPr>
        <w:t xml:space="preserve"> 1043/2018, ha establecido, en su segundo capítulo un procedimiento administrativo previo al despido </w:t>
      </w:r>
      <w:r w:rsidRPr="003D24AF">
        <w:rPr>
          <w:i/>
          <w:sz w:val="20"/>
        </w:rPr>
        <w:t>sin justa causa</w:t>
      </w:r>
      <w:r>
        <w:rPr>
          <w:sz w:val="20"/>
        </w:rPr>
        <w:t xml:space="preserve"> de trabajadores </w:t>
      </w:r>
      <w:r w:rsidRPr="003D24AF">
        <w:rPr>
          <w:i/>
          <w:sz w:val="20"/>
        </w:rPr>
        <w:t>vinculados por un contrato de trabajo por tiempo indeterminado</w:t>
      </w:r>
      <w:r>
        <w:rPr>
          <w:i/>
          <w:sz w:val="20"/>
        </w:rPr>
        <w:t>.</w:t>
      </w:r>
    </w:p>
    <w:p w:rsidR="00376EF0" w:rsidRPr="003D24AF" w:rsidRDefault="00376EF0" w:rsidP="00376EF0">
      <w:pPr>
        <w:pStyle w:val="Margen"/>
        <w:spacing w:line="120" w:lineRule="atLeast"/>
        <w:rPr>
          <w:sz w:val="20"/>
        </w:rPr>
      </w:pPr>
      <w:r>
        <w:rPr>
          <w:sz w:val="20"/>
        </w:rPr>
        <w:t>Quedan excluidos de este procedimiento, los trabajadores de la Industria de la Construcción, vinculados en los términos de la ley 22.250.</w:t>
      </w:r>
    </w:p>
    <w:p w:rsidR="00376EF0" w:rsidRDefault="00376EF0" w:rsidP="00376EF0">
      <w:pPr>
        <w:pStyle w:val="Margen"/>
        <w:spacing w:line="120" w:lineRule="atLeast"/>
        <w:rPr>
          <w:sz w:val="20"/>
        </w:rPr>
      </w:pPr>
      <w:r>
        <w:rPr>
          <w:sz w:val="20"/>
        </w:rPr>
        <w:t>Conforme al mismo, antes de proceder al despido sin invocación de justa causa de trabajadores dependientes comprendidos en el ámbito de aplicación de la norma, el empleador debe comunicar, su decisión al Ministerio de Producción y Trabajo con una anticipación de diez días hábiles.</w:t>
      </w:r>
    </w:p>
    <w:p w:rsidR="00376EF0" w:rsidRDefault="00376EF0" w:rsidP="00376EF0">
      <w:pPr>
        <w:pStyle w:val="Margen"/>
        <w:spacing w:line="120" w:lineRule="atLeast"/>
        <w:rPr>
          <w:sz w:val="20"/>
        </w:rPr>
      </w:pPr>
      <w:r>
        <w:rPr>
          <w:sz w:val="20"/>
        </w:rPr>
        <w:t xml:space="preserve">El Ministerio </w:t>
      </w:r>
      <w:r>
        <w:rPr>
          <w:i/>
          <w:sz w:val="20"/>
        </w:rPr>
        <w:t>podrá</w:t>
      </w:r>
      <w:r>
        <w:rPr>
          <w:sz w:val="20"/>
        </w:rPr>
        <w:t xml:space="preserve"> convocar al empleador y al trabajador (quien deberá contar con asistencia gremial), a la celebración de audiencias durante dicho plazo para “considerar” las “condiciones” en que tendrá lugar la extinción del vínculo laboral.</w:t>
      </w:r>
    </w:p>
    <w:p w:rsidR="00376EF0" w:rsidRDefault="00376EF0" w:rsidP="00376EF0">
      <w:pPr>
        <w:pStyle w:val="Margen"/>
        <w:spacing w:line="120" w:lineRule="atLeast"/>
        <w:rPr>
          <w:sz w:val="20"/>
        </w:rPr>
      </w:pPr>
      <w:r>
        <w:rPr>
          <w:sz w:val="20"/>
        </w:rPr>
        <w:t>Tal convocatoria puede hacerse espontáneamente por el Ministerio o “a petición de parte”.</w:t>
      </w:r>
    </w:p>
    <w:p w:rsidR="00376EF0" w:rsidRDefault="00376EF0" w:rsidP="00376EF0">
      <w:pPr>
        <w:pStyle w:val="Margen"/>
        <w:spacing w:line="120" w:lineRule="atLeast"/>
        <w:rPr>
          <w:sz w:val="20"/>
        </w:rPr>
      </w:pPr>
      <w:r>
        <w:rPr>
          <w:sz w:val="20"/>
        </w:rPr>
        <w:t>Este procedimiento tendrá duración hasta el 31 de marzo de 2019.</w:t>
      </w:r>
    </w:p>
    <w:p w:rsidR="00376EF0" w:rsidRDefault="00376EF0" w:rsidP="00376EF0">
      <w:pPr>
        <w:pStyle w:val="Margen"/>
        <w:spacing w:line="120" w:lineRule="atLeast"/>
        <w:rPr>
          <w:sz w:val="20"/>
        </w:rPr>
      </w:pPr>
      <w:r>
        <w:rPr>
          <w:sz w:val="20"/>
        </w:rPr>
        <w:t>A diferencia de lo establecido en ocasiones anteriores, no se establece un  incremento indemnizatorio para el incumplimiento de la obligación mencionada, sino la aplicación de las sanciones previstas la ley 25.212 (Pacto Federal del Trabajo).</w:t>
      </w:r>
    </w:p>
    <w:p w:rsidR="00376EF0" w:rsidRDefault="00376EF0" w:rsidP="00376EF0">
      <w:pPr>
        <w:pStyle w:val="Margen"/>
        <w:spacing w:line="120" w:lineRule="atLeast"/>
        <w:rPr>
          <w:sz w:val="20"/>
        </w:rPr>
      </w:pPr>
      <w:r>
        <w:rPr>
          <w:sz w:val="20"/>
        </w:rPr>
        <w:t>La ley 25.212 clasifica las infracciones en “leves”, “graves” y “muy graves.</w:t>
      </w:r>
    </w:p>
    <w:p w:rsidR="00376EF0" w:rsidRDefault="00376EF0" w:rsidP="00376EF0">
      <w:pPr>
        <w:pStyle w:val="Margen"/>
        <w:numPr>
          <w:ilvl w:val="0"/>
          <w:numId w:val="2"/>
        </w:numPr>
        <w:spacing w:line="120" w:lineRule="atLeast"/>
        <w:rPr>
          <w:sz w:val="20"/>
        </w:rPr>
      </w:pPr>
      <w:r>
        <w:rPr>
          <w:sz w:val="20"/>
        </w:rPr>
        <w:t>Infracciones leves: (sancionadas con apercibimiento o multa del 25% al 150% del salario mínimo vital y móvil vigente al momento de constatación de la infracción)</w:t>
      </w:r>
    </w:p>
    <w:p w:rsidR="00376EF0" w:rsidRPr="000125F7" w:rsidRDefault="00376EF0" w:rsidP="00376EF0">
      <w:pPr>
        <w:pStyle w:val="Margen"/>
        <w:numPr>
          <w:ilvl w:val="0"/>
          <w:numId w:val="3"/>
        </w:numPr>
        <w:spacing w:before="0" w:line="240" w:lineRule="auto"/>
        <w:ind w:left="1429" w:hanging="357"/>
        <w:rPr>
          <w:sz w:val="16"/>
          <w:szCs w:val="16"/>
        </w:rPr>
      </w:pPr>
      <w:r w:rsidRPr="000125F7">
        <w:rPr>
          <w:sz w:val="16"/>
          <w:szCs w:val="16"/>
        </w:rPr>
        <w:t>El pago de las remuneraciones fuera del plazo legal, cuando el atraso fuere de hasta cuatro (4) días hábiles si el período de pago fuera mensual, y de hasta dos (2) días hábiles si el período fuera menor.</w:t>
      </w:r>
    </w:p>
    <w:p w:rsidR="00376EF0" w:rsidRPr="000125F7" w:rsidRDefault="00376EF0" w:rsidP="00376EF0">
      <w:pPr>
        <w:pStyle w:val="Margen"/>
        <w:numPr>
          <w:ilvl w:val="0"/>
          <w:numId w:val="3"/>
        </w:numPr>
        <w:spacing w:before="0" w:line="240" w:lineRule="auto"/>
        <w:ind w:left="1429" w:hanging="357"/>
        <w:rPr>
          <w:sz w:val="16"/>
          <w:szCs w:val="16"/>
        </w:rPr>
      </w:pPr>
      <w:r w:rsidRPr="000125F7">
        <w:rPr>
          <w:sz w:val="16"/>
          <w:szCs w:val="16"/>
        </w:rPr>
        <w:t>No exponer en lugar visible del establecimiento los anuncios relativos a la distribución de las horas de trabajo</w:t>
      </w:r>
    </w:p>
    <w:p w:rsidR="00376EF0" w:rsidRPr="000125F7" w:rsidRDefault="00376EF0" w:rsidP="00376EF0">
      <w:pPr>
        <w:pStyle w:val="Margen"/>
        <w:numPr>
          <w:ilvl w:val="0"/>
          <w:numId w:val="3"/>
        </w:numPr>
        <w:spacing w:before="0" w:line="240" w:lineRule="auto"/>
        <w:ind w:left="1429" w:hanging="357"/>
        <w:rPr>
          <w:sz w:val="16"/>
          <w:szCs w:val="16"/>
        </w:rPr>
      </w:pPr>
      <w:r w:rsidRPr="000125F7">
        <w:rPr>
          <w:sz w:val="16"/>
          <w:szCs w:val="16"/>
        </w:rPr>
        <w:t>No otorgar, salvo autorización, el descanso de las mujeres al mediodía cuando correspondiera.</w:t>
      </w:r>
    </w:p>
    <w:p w:rsidR="00376EF0" w:rsidRDefault="00376EF0" w:rsidP="00376EF0">
      <w:pPr>
        <w:pStyle w:val="Margen"/>
        <w:numPr>
          <w:ilvl w:val="0"/>
          <w:numId w:val="3"/>
        </w:numPr>
        <w:spacing w:before="0" w:line="240" w:lineRule="auto"/>
        <w:ind w:left="1429" w:hanging="357"/>
        <w:rPr>
          <w:sz w:val="16"/>
          <w:szCs w:val="16"/>
        </w:rPr>
      </w:pPr>
      <w:r w:rsidRPr="006024A9">
        <w:rPr>
          <w:sz w:val="16"/>
          <w:szCs w:val="16"/>
          <w:u w:val="single"/>
        </w:rPr>
        <w:t>Cualquiera otra que viole obligaciones meramente formales o documentales, salvo las tipificadas como graves o muy graves</w:t>
      </w:r>
      <w:r w:rsidRPr="000125F7">
        <w:rPr>
          <w:sz w:val="16"/>
          <w:szCs w:val="16"/>
        </w:rPr>
        <w:t>.</w:t>
      </w:r>
    </w:p>
    <w:p w:rsidR="00376EF0" w:rsidRPr="00D2583F" w:rsidRDefault="00376EF0" w:rsidP="00376EF0">
      <w:pPr>
        <w:pStyle w:val="Margen"/>
        <w:numPr>
          <w:ilvl w:val="0"/>
          <w:numId w:val="3"/>
        </w:numPr>
        <w:spacing w:before="0" w:line="240" w:lineRule="auto"/>
        <w:ind w:left="1429" w:hanging="357"/>
        <w:contextualSpacing/>
        <w:rPr>
          <w:sz w:val="16"/>
          <w:szCs w:val="16"/>
        </w:rPr>
      </w:pPr>
      <w:r w:rsidRPr="000125F7">
        <w:rPr>
          <w:sz w:val="16"/>
          <w:szCs w:val="16"/>
        </w:rPr>
        <w:t>Las acciones u omisiones violatorias de las normas de higiene y seguridad en el trabajo que afecten exigencias de carácter formal o documental, siempre que no fueren</w:t>
      </w:r>
      <w:r>
        <w:rPr>
          <w:sz w:val="16"/>
          <w:szCs w:val="16"/>
        </w:rPr>
        <w:t xml:space="preserve"> </w:t>
      </w:r>
      <w:r w:rsidRPr="000125F7">
        <w:rPr>
          <w:sz w:val="16"/>
          <w:szCs w:val="16"/>
        </w:rPr>
        <w:t>calificadas como graves o muy graves</w:t>
      </w:r>
      <w:r>
        <w:t>.</w:t>
      </w:r>
    </w:p>
    <w:p w:rsidR="00376EF0" w:rsidRDefault="00376EF0" w:rsidP="00376EF0">
      <w:pPr>
        <w:pStyle w:val="Margen"/>
        <w:numPr>
          <w:ilvl w:val="0"/>
          <w:numId w:val="2"/>
        </w:numPr>
        <w:spacing w:line="120" w:lineRule="atLeast"/>
        <w:rPr>
          <w:sz w:val="20"/>
        </w:rPr>
      </w:pPr>
      <w:r>
        <w:rPr>
          <w:sz w:val="20"/>
        </w:rPr>
        <w:t>Infracciones graves:</w:t>
      </w:r>
      <w:r w:rsidRPr="00D2583F">
        <w:rPr>
          <w:sz w:val="20"/>
        </w:rPr>
        <w:t xml:space="preserve"> </w:t>
      </w:r>
      <w:r>
        <w:rPr>
          <w:sz w:val="20"/>
        </w:rPr>
        <w:t>(sancionadas multa del 30% al 200% del salario mínimo vital y móvil vigente al momento de constatación de la infracción, por cada trabajador afectado)</w:t>
      </w:r>
    </w:p>
    <w:p w:rsidR="00376EF0" w:rsidRPr="00784972" w:rsidRDefault="00376EF0" w:rsidP="00376EF0">
      <w:pPr>
        <w:pStyle w:val="NormalWeb"/>
        <w:numPr>
          <w:ilvl w:val="0"/>
          <w:numId w:val="4"/>
        </w:numPr>
        <w:spacing w:before="0" w:after="0"/>
        <w:ind w:left="1429" w:right="0" w:hanging="357"/>
        <w:jc w:val="both"/>
        <w:rPr>
          <w:rFonts w:ascii="Verdana" w:hAnsi="Verdana"/>
          <w:sz w:val="16"/>
          <w:szCs w:val="16"/>
        </w:rPr>
      </w:pPr>
      <w:r w:rsidRPr="00784972">
        <w:rPr>
          <w:rFonts w:ascii="Verdana" w:hAnsi="Verdana"/>
          <w:sz w:val="16"/>
          <w:szCs w:val="16"/>
        </w:rPr>
        <w:t xml:space="preserve">La </w:t>
      </w:r>
      <w:r w:rsidRPr="00784972">
        <w:rPr>
          <w:rFonts w:ascii="Arial" w:hAnsi="Arial" w:cs="Arial"/>
          <w:sz w:val="16"/>
          <w:szCs w:val="16"/>
        </w:rPr>
        <w:t>falta, en los libros de registro de los trabajadores, de alguno de</w:t>
      </w:r>
      <w:r w:rsidRPr="00784972">
        <w:rPr>
          <w:rFonts w:ascii="Verdana" w:hAnsi="Verdana"/>
          <w:sz w:val="16"/>
          <w:szCs w:val="16"/>
        </w:rPr>
        <w:t xml:space="preserve"> los datos esenciales del contrato o relación de trabajo.</w:t>
      </w:r>
    </w:p>
    <w:p w:rsidR="00376EF0" w:rsidRPr="00784972" w:rsidRDefault="00376EF0" w:rsidP="00376EF0">
      <w:pPr>
        <w:pStyle w:val="NormalWeb"/>
        <w:numPr>
          <w:ilvl w:val="0"/>
          <w:numId w:val="4"/>
        </w:numPr>
        <w:spacing w:before="0" w:after="0"/>
        <w:ind w:left="1429" w:right="0" w:hanging="357"/>
        <w:jc w:val="both"/>
        <w:rPr>
          <w:rFonts w:ascii="Verdana" w:hAnsi="Verdana"/>
          <w:sz w:val="16"/>
          <w:szCs w:val="16"/>
        </w:rPr>
      </w:pPr>
      <w:r w:rsidRPr="00784972">
        <w:rPr>
          <w:rFonts w:ascii="Verdana" w:hAnsi="Verdana"/>
          <w:sz w:val="16"/>
          <w:szCs w:val="16"/>
        </w:rPr>
        <w:t>La falta de entrega de los certificados de servicios o de extinción de la relación laboral a requerimiento del trabajador.</w:t>
      </w:r>
    </w:p>
    <w:p w:rsidR="00376EF0" w:rsidRPr="00784972" w:rsidRDefault="00376EF0" w:rsidP="00376EF0">
      <w:pPr>
        <w:pStyle w:val="NormalWeb"/>
        <w:numPr>
          <w:ilvl w:val="0"/>
          <w:numId w:val="4"/>
        </w:numPr>
        <w:spacing w:before="0" w:after="0"/>
        <w:ind w:left="1429" w:right="0" w:hanging="357"/>
        <w:jc w:val="both"/>
        <w:rPr>
          <w:rFonts w:ascii="Verdana" w:hAnsi="Verdana"/>
          <w:sz w:val="16"/>
          <w:szCs w:val="16"/>
        </w:rPr>
      </w:pPr>
      <w:r w:rsidRPr="00784972">
        <w:rPr>
          <w:rFonts w:ascii="Verdana" w:hAnsi="Verdana"/>
          <w:sz w:val="16"/>
          <w:szCs w:val="16"/>
        </w:rPr>
        <w:t>La violación de las normas relativas en cuanto a monto, lugar, tiempo y modo, del pago de las remuneraciones, así como la falta de entrega de copia firmada por el empleador de los recibos correspondientes, salvo lo dispuesto en el artículo 2º, inciso a)</w:t>
      </w:r>
    </w:p>
    <w:p w:rsidR="00376EF0" w:rsidRPr="00784972" w:rsidRDefault="00376EF0" w:rsidP="00376EF0">
      <w:pPr>
        <w:pStyle w:val="NormalWeb"/>
        <w:numPr>
          <w:ilvl w:val="0"/>
          <w:numId w:val="4"/>
        </w:numPr>
        <w:spacing w:before="0" w:after="0"/>
        <w:ind w:left="1429" w:right="0" w:hanging="357"/>
        <w:jc w:val="both"/>
        <w:rPr>
          <w:rFonts w:ascii="Verdana" w:hAnsi="Verdana"/>
          <w:sz w:val="16"/>
          <w:szCs w:val="16"/>
        </w:rPr>
      </w:pPr>
      <w:r w:rsidRPr="00784972">
        <w:rPr>
          <w:rFonts w:ascii="Verdana" w:hAnsi="Verdana"/>
          <w:sz w:val="16"/>
          <w:szCs w:val="16"/>
        </w:rPr>
        <w:t>La violación de las normas en materia de duración del trabajo, descanso semanal, vacaciones, licencias, feriados, días no laborables y en general, tiempo de trabajo.</w:t>
      </w:r>
    </w:p>
    <w:p w:rsidR="00376EF0" w:rsidRPr="00784972" w:rsidRDefault="00376EF0" w:rsidP="00376EF0">
      <w:pPr>
        <w:pStyle w:val="NormalWeb"/>
        <w:numPr>
          <w:ilvl w:val="0"/>
          <w:numId w:val="4"/>
        </w:numPr>
        <w:spacing w:before="0" w:after="0"/>
        <w:ind w:left="1429" w:right="0" w:hanging="357"/>
        <w:jc w:val="both"/>
        <w:rPr>
          <w:rFonts w:ascii="Verdana" w:hAnsi="Verdana"/>
          <w:sz w:val="16"/>
          <w:szCs w:val="16"/>
        </w:rPr>
      </w:pPr>
      <w:r w:rsidRPr="00784972">
        <w:rPr>
          <w:rFonts w:ascii="Verdana" w:hAnsi="Verdana"/>
          <w:sz w:val="16"/>
          <w:szCs w:val="16"/>
        </w:rPr>
        <w:t>e) La violación de la normativa relativa a modalidades contractuales.</w:t>
      </w:r>
    </w:p>
    <w:p w:rsidR="00376EF0" w:rsidRPr="00784972" w:rsidRDefault="00376EF0" w:rsidP="00376EF0">
      <w:pPr>
        <w:pStyle w:val="NormalWeb"/>
        <w:numPr>
          <w:ilvl w:val="0"/>
          <w:numId w:val="4"/>
        </w:numPr>
        <w:spacing w:before="0" w:after="0"/>
        <w:ind w:left="1429" w:right="0" w:hanging="357"/>
        <w:jc w:val="both"/>
        <w:rPr>
          <w:rFonts w:ascii="Verdana" w:hAnsi="Verdana"/>
          <w:sz w:val="16"/>
          <w:szCs w:val="16"/>
        </w:rPr>
      </w:pPr>
      <w:r w:rsidRPr="00784972">
        <w:rPr>
          <w:rFonts w:ascii="Verdana" w:hAnsi="Verdana"/>
          <w:sz w:val="16"/>
          <w:szCs w:val="16"/>
        </w:rPr>
        <w:t>f) La falta o insuficiencia de los instrumentos individuales de contralor de la jornada de trabajo.</w:t>
      </w:r>
    </w:p>
    <w:p w:rsidR="00376EF0" w:rsidRPr="00784972" w:rsidRDefault="00376EF0" w:rsidP="00376EF0">
      <w:pPr>
        <w:pStyle w:val="NormalWeb"/>
        <w:numPr>
          <w:ilvl w:val="0"/>
          <w:numId w:val="4"/>
        </w:numPr>
        <w:spacing w:before="0" w:after="0"/>
        <w:ind w:left="1429" w:right="0" w:hanging="357"/>
        <w:jc w:val="both"/>
        <w:rPr>
          <w:rFonts w:ascii="Verdana" w:hAnsi="Verdana"/>
          <w:sz w:val="16"/>
          <w:szCs w:val="16"/>
        </w:rPr>
      </w:pPr>
      <w:r w:rsidRPr="00784972">
        <w:rPr>
          <w:rFonts w:ascii="Verdana" w:hAnsi="Verdana"/>
          <w:sz w:val="16"/>
          <w:szCs w:val="16"/>
        </w:rPr>
        <w:t>Toda otra violación o ejercicio abusivo de la normativa laboral no tipificada expresamente en esta Ley, establecida para proteger los derechos del trabajador, para garantizar el ejercicio del poder de policía del trabajo y para evitar a los empleadores la competencia desleal derivada de tales violaciones o conductas abusivas.</w:t>
      </w:r>
    </w:p>
    <w:p w:rsidR="00376EF0" w:rsidRPr="00784972" w:rsidRDefault="00376EF0" w:rsidP="00376EF0">
      <w:pPr>
        <w:pStyle w:val="NormalWeb"/>
        <w:numPr>
          <w:ilvl w:val="0"/>
          <w:numId w:val="4"/>
        </w:numPr>
        <w:spacing w:before="0" w:after="0"/>
        <w:ind w:left="1429" w:right="0" w:hanging="357"/>
        <w:jc w:val="both"/>
        <w:rPr>
          <w:rFonts w:ascii="Verdana" w:hAnsi="Verdana"/>
          <w:sz w:val="16"/>
          <w:szCs w:val="16"/>
        </w:rPr>
      </w:pPr>
      <w:r w:rsidRPr="00784972">
        <w:rPr>
          <w:rFonts w:ascii="Verdana" w:hAnsi="Verdana"/>
          <w:sz w:val="16"/>
          <w:szCs w:val="16"/>
        </w:rPr>
        <w:t>Las acciones u omisiones que importen el incumplimiento de las obligaciones en materia de salud, seguridad e higiene en el trabajo, siempre que no fueran calificadas como muy graves.</w:t>
      </w:r>
    </w:p>
    <w:p w:rsidR="00376EF0" w:rsidRDefault="00376EF0" w:rsidP="00376EF0">
      <w:pPr>
        <w:pStyle w:val="Margen"/>
        <w:numPr>
          <w:ilvl w:val="0"/>
          <w:numId w:val="2"/>
        </w:numPr>
        <w:spacing w:line="120" w:lineRule="atLeast"/>
        <w:rPr>
          <w:sz w:val="20"/>
        </w:rPr>
      </w:pPr>
      <w:r>
        <w:rPr>
          <w:sz w:val="20"/>
        </w:rPr>
        <w:t>Infracciones muy graves: (sancionadas multa del 50% al 2.000% del salario mínimo vital y móvil vigente al momento de constatación de la infracción por cada trabajador afectado)</w:t>
      </w:r>
    </w:p>
    <w:p w:rsidR="00376EF0" w:rsidRPr="00AE1D96" w:rsidRDefault="00376EF0" w:rsidP="00376EF0">
      <w:pPr>
        <w:pStyle w:val="Margen"/>
        <w:numPr>
          <w:ilvl w:val="0"/>
          <w:numId w:val="5"/>
        </w:numPr>
        <w:spacing w:before="0" w:line="240" w:lineRule="auto"/>
        <w:rPr>
          <w:sz w:val="16"/>
          <w:szCs w:val="16"/>
        </w:rPr>
      </w:pPr>
      <w:r w:rsidRPr="00AE1D96">
        <w:rPr>
          <w:sz w:val="16"/>
          <w:szCs w:val="16"/>
        </w:rPr>
        <w:t>Las decisiones del empleador que impliquen cualquier tipo de discriminación en el empleo o la ocupación por motivos de: raza, color, ascendencia nacional, religión, sexo, edad, opinión política, origen social, gremiales, residencia o responsabilidades familiares.</w:t>
      </w:r>
    </w:p>
    <w:p w:rsidR="00376EF0" w:rsidRPr="00AE1D96" w:rsidRDefault="00376EF0" w:rsidP="00376EF0">
      <w:pPr>
        <w:pStyle w:val="Margen"/>
        <w:numPr>
          <w:ilvl w:val="0"/>
          <w:numId w:val="5"/>
        </w:numPr>
        <w:spacing w:before="0" w:line="240" w:lineRule="auto"/>
        <w:rPr>
          <w:sz w:val="16"/>
          <w:szCs w:val="16"/>
        </w:rPr>
      </w:pPr>
      <w:r w:rsidRPr="00AE1D96">
        <w:rPr>
          <w:sz w:val="16"/>
          <w:szCs w:val="16"/>
        </w:rPr>
        <w:t>Los actos del empleador contrarios a la intimidad y dignidad de los trabajadores.</w:t>
      </w:r>
    </w:p>
    <w:p w:rsidR="00376EF0" w:rsidRPr="00AE1D96" w:rsidRDefault="00376EF0" w:rsidP="00376EF0">
      <w:pPr>
        <w:pStyle w:val="Margen"/>
        <w:numPr>
          <w:ilvl w:val="0"/>
          <w:numId w:val="5"/>
        </w:numPr>
        <w:spacing w:before="0" w:line="240" w:lineRule="auto"/>
        <w:rPr>
          <w:sz w:val="16"/>
          <w:szCs w:val="16"/>
        </w:rPr>
      </w:pPr>
      <w:r w:rsidRPr="00AE1D96">
        <w:rPr>
          <w:sz w:val="16"/>
          <w:szCs w:val="16"/>
        </w:rPr>
        <w:t>La falta de inscripción del trabajador en los libros de registro de los trabajadores, salvo que se haya denunciado su alta a todos los organismos de seguridad social, incluidas las obras sociales, en la oportunidad que corresponda, en cuyo caso se considerará incluida en las infracciones previstas en el artículo 3º, inciso a).</w:t>
      </w:r>
    </w:p>
    <w:p w:rsidR="00376EF0" w:rsidRPr="00AE1D96" w:rsidRDefault="00376EF0" w:rsidP="00376EF0">
      <w:pPr>
        <w:pStyle w:val="Margen"/>
        <w:numPr>
          <w:ilvl w:val="0"/>
          <w:numId w:val="5"/>
        </w:numPr>
        <w:spacing w:before="0" w:line="240" w:lineRule="auto"/>
        <w:rPr>
          <w:sz w:val="16"/>
          <w:szCs w:val="16"/>
        </w:rPr>
      </w:pPr>
      <w:r w:rsidRPr="00AE1D96">
        <w:rPr>
          <w:sz w:val="16"/>
          <w:szCs w:val="16"/>
        </w:rPr>
        <w:t>La cesión de personal efectuada en violación de los requisitos legales.</w:t>
      </w:r>
    </w:p>
    <w:p w:rsidR="00376EF0" w:rsidRPr="00AE1D96" w:rsidRDefault="00376EF0" w:rsidP="00376EF0">
      <w:pPr>
        <w:pStyle w:val="Margen"/>
        <w:numPr>
          <w:ilvl w:val="0"/>
          <w:numId w:val="5"/>
        </w:numPr>
        <w:spacing w:before="0" w:line="240" w:lineRule="auto"/>
        <w:rPr>
          <w:sz w:val="16"/>
          <w:szCs w:val="16"/>
        </w:rPr>
      </w:pPr>
      <w:r w:rsidRPr="00AE1D96">
        <w:rPr>
          <w:sz w:val="16"/>
          <w:szCs w:val="16"/>
        </w:rPr>
        <w:lastRenderedPageBreak/>
        <w:t>La violación de las normas relativas a trabajo de menores.</w:t>
      </w:r>
    </w:p>
    <w:p w:rsidR="00376EF0" w:rsidRPr="00AE1D96" w:rsidRDefault="00376EF0" w:rsidP="00376EF0">
      <w:pPr>
        <w:pStyle w:val="Margen"/>
        <w:numPr>
          <w:ilvl w:val="0"/>
          <w:numId w:val="5"/>
        </w:numPr>
        <w:spacing w:before="0" w:line="240" w:lineRule="auto"/>
        <w:rPr>
          <w:sz w:val="16"/>
          <w:szCs w:val="16"/>
        </w:rPr>
      </w:pPr>
      <w:r w:rsidRPr="00AE1D96">
        <w:rPr>
          <w:sz w:val="16"/>
          <w:szCs w:val="16"/>
        </w:rPr>
        <w:t>La violación por cualquiera de las partes de las resoluciones dictadas con motivo de los procedimientos de conciliación obligatoria y arbitraje en conflictos colectivos.</w:t>
      </w:r>
    </w:p>
    <w:p w:rsidR="00376EF0" w:rsidRPr="00AE1D96" w:rsidRDefault="00376EF0" w:rsidP="00376EF0">
      <w:pPr>
        <w:pStyle w:val="Margen"/>
        <w:numPr>
          <w:ilvl w:val="0"/>
          <w:numId w:val="5"/>
        </w:numPr>
        <w:spacing w:before="0" w:line="240" w:lineRule="auto"/>
        <w:rPr>
          <w:sz w:val="16"/>
          <w:szCs w:val="16"/>
        </w:rPr>
      </w:pPr>
      <w:r w:rsidRPr="00AE1D96">
        <w:rPr>
          <w:sz w:val="16"/>
          <w:szCs w:val="16"/>
        </w:rPr>
        <w:t>Las acciones u omisiones del artículo 3º, inciso h) que deriven en riesgo grave e inminente para la salud de los trabajadores.</w:t>
      </w:r>
    </w:p>
    <w:p w:rsidR="00376EF0" w:rsidRPr="00AE1D96" w:rsidRDefault="00376EF0" w:rsidP="00376EF0">
      <w:pPr>
        <w:pStyle w:val="Margen"/>
        <w:spacing w:before="0" w:line="240" w:lineRule="auto"/>
        <w:rPr>
          <w:sz w:val="16"/>
          <w:szCs w:val="16"/>
          <w:lang w:val="es-AR"/>
        </w:rPr>
      </w:pPr>
    </w:p>
    <w:p w:rsidR="00376EF0" w:rsidRDefault="00376EF0" w:rsidP="00376EF0">
      <w:pPr>
        <w:pStyle w:val="Margen"/>
        <w:spacing w:line="120" w:lineRule="atLeast"/>
        <w:rPr>
          <w:sz w:val="20"/>
        </w:rPr>
      </w:pPr>
      <w:r>
        <w:rPr>
          <w:sz w:val="20"/>
        </w:rPr>
        <w:t>Debe tener en cuenta que esta normativa se refiere exclusivamente a aquellos despidos dispuestos sin invocación de causa que obligan a abonar las indemnizaciones previstas por la legislación vigente.</w:t>
      </w:r>
    </w:p>
    <w:p w:rsidR="00376EF0" w:rsidRPr="001C112C" w:rsidRDefault="00376EF0" w:rsidP="00376EF0">
      <w:pPr>
        <w:pStyle w:val="Margen"/>
        <w:spacing w:line="120" w:lineRule="atLeast"/>
        <w:rPr>
          <w:sz w:val="20"/>
        </w:rPr>
      </w:pPr>
      <w:r>
        <w:rPr>
          <w:sz w:val="20"/>
        </w:rPr>
        <w:t>En lo que hace a los despidos por razones económicas, de fuerza mayor, causas económicas o tecnológicas permanece vigente las disposiciones previstas por el decreto 328/1988 y la ley 24.013 (Procedimiento Preventivo para Crisis Empresarias).</w:t>
      </w:r>
    </w:p>
    <w:p w:rsidR="00376EF0" w:rsidRDefault="00376EF0" w:rsidP="00376EF0">
      <w:pPr>
        <w:pStyle w:val="Margen"/>
        <w:spacing w:line="120" w:lineRule="atLeast"/>
        <w:jc w:val="right"/>
        <w:rPr>
          <w:sz w:val="20"/>
        </w:rPr>
      </w:pPr>
      <w:r>
        <w:rPr>
          <w:sz w:val="20"/>
        </w:rPr>
        <w:t>Buenos Aires, 03 de diciembre de 2018</w:t>
      </w:r>
    </w:p>
    <w:p w:rsidR="00376EF0" w:rsidRPr="00761C9D" w:rsidRDefault="00376EF0" w:rsidP="00376EF0">
      <w:pPr>
        <w:pStyle w:val="Parrafosimple"/>
        <w:jc w:val="right"/>
        <w:rPr>
          <w:i/>
          <w:sz w:val="20"/>
        </w:rPr>
      </w:pPr>
      <w:r w:rsidRPr="00761C9D">
        <w:rPr>
          <w:i/>
          <w:sz w:val="20"/>
        </w:rPr>
        <w:t>Carlos Oscar Lerner</w:t>
      </w:r>
    </w:p>
    <w:p w:rsidR="007E3EC9" w:rsidRPr="00B4778B" w:rsidRDefault="007E3EC9" w:rsidP="00B4778B">
      <w:pPr>
        <w:pStyle w:val="Margen"/>
        <w:spacing w:line="240" w:lineRule="auto"/>
        <w:ind w:left="0"/>
        <w:rPr>
          <w:sz w:val="20"/>
        </w:rPr>
      </w:pPr>
    </w:p>
    <w:sectPr w:rsidR="007E3EC9" w:rsidRPr="00B4778B" w:rsidSect="00334D84">
      <w:pgSz w:w="12242" w:h="20163" w:code="5"/>
      <w:pgMar w:top="1417" w:right="1701" w:bottom="1417" w:left="1701" w:header="720" w:footer="720" w:gutter="1021"/>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95AB6"/>
    <w:multiLevelType w:val="hybridMultilevel"/>
    <w:tmpl w:val="847AE66E"/>
    <w:lvl w:ilvl="0" w:tplc="D6065718">
      <w:start w:val="1"/>
      <w:numFmt w:val="lowerLetter"/>
      <w:lvlText w:val="%1)"/>
      <w:lvlJc w:val="left"/>
      <w:pPr>
        <w:ind w:left="1074" w:hanging="360"/>
      </w:pPr>
      <w:rPr>
        <w:rFonts w:hint="default"/>
      </w:rPr>
    </w:lvl>
    <w:lvl w:ilvl="1" w:tplc="2C0A0019" w:tentative="1">
      <w:start w:val="1"/>
      <w:numFmt w:val="lowerLetter"/>
      <w:lvlText w:val="%2."/>
      <w:lvlJc w:val="left"/>
      <w:pPr>
        <w:ind w:left="1794" w:hanging="360"/>
      </w:pPr>
    </w:lvl>
    <w:lvl w:ilvl="2" w:tplc="2C0A001B" w:tentative="1">
      <w:start w:val="1"/>
      <w:numFmt w:val="lowerRoman"/>
      <w:lvlText w:val="%3."/>
      <w:lvlJc w:val="right"/>
      <w:pPr>
        <w:ind w:left="2514" w:hanging="180"/>
      </w:pPr>
    </w:lvl>
    <w:lvl w:ilvl="3" w:tplc="2C0A000F" w:tentative="1">
      <w:start w:val="1"/>
      <w:numFmt w:val="decimal"/>
      <w:lvlText w:val="%4."/>
      <w:lvlJc w:val="left"/>
      <w:pPr>
        <w:ind w:left="3234" w:hanging="360"/>
      </w:pPr>
    </w:lvl>
    <w:lvl w:ilvl="4" w:tplc="2C0A0019" w:tentative="1">
      <w:start w:val="1"/>
      <w:numFmt w:val="lowerLetter"/>
      <w:lvlText w:val="%5."/>
      <w:lvlJc w:val="left"/>
      <w:pPr>
        <w:ind w:left="3954" w:hanging="360"/>
      </w:pPr>
    </w:lvl>
    <w:lvl w:ilvl="5" w:tplc="2C0A001B" w:tentative="1">
      <w:start w:val="1"/>
      <w:numFmt w:val="lowerRoman"/>
      <w:lvlText w:val="%6."/>
      <w:lvlJc w:val="right"/>
      <w:pPr>
        <w:ind w:left="4674" w:hanging="180"/>
      </w:pPr>
    </w:lvl>
    <w:lvl w:ilvl="6" w:tplc="2C0A000F" w:tentative="1">
      <w:start w:val="1"/>
      <w:numFmt w:val="decimal"/>
      <w:lvlText w:val="%7."/>
      <w:lvlJc w:val="left"/>
      <w:pPr>
        <w:ind w:left="5394" w:hanging="360"/>
      </w:pPr>
    </w:lvl>
    <w:lvl w:ilvl="7" w:tplc="2C0A0019" w:tentative="1">
      <w:start w:val="1"/>
      <w:numFmt w:val="lowerLetter"/>
      <w:lvlText w:val="%8."/>
      <w:lvlJc w:val="left"/>
      <w:pPr>
        <w:ind w:left="6114" w:hanging="360"/>
      </w:pPr>
    </w:lvl>
    <w:lvl w:ilvl="8" w:tplc="2C0A001B" w:tentative="1">
      <w:start w:val="1"/>
      <w:numFmt w:val="lowerRoman"/>
      <w:lvlText w:val="%9."/>
      <w:lvlJc w:val="right"/>
      <w:pPr>
        <w:ind w:left="6834" w:hanging="180"/>
      </w:pPr>
    </w:lvl>
  </w:abstractNum>
  <w:abstractNum w:abstractNumId="1">
    <w:nsid w:val="512A0D84"/>
    <w:multiLevelType w:val="hybridMultilevel"/>
    <w:tmpl w:val="DDD25BDE"/>
    <w:lvl w:ilvl="0" w:tplc="2840A058">
      <w:start w:val="1"/>
      <w:numFmt w:val="decimal"/>
      <w:lvlText w:val="%1)"/>
      <w:lvlJc w:val="left"/>
      <w:pPr>
        <w:ind w:left="1074" w:hanging="360"/>
      </w:pPr>
      <w:rPr>
        <w:rFonts w:hint="default"/>
      </w:rPr>
    </w:lvl>
    <w:lvl w:ilvl="1" w:tplc="2C0A0019" w:tentative="1">
      <w:start w:val="1"/>
      <w:numFmt w:val="lowerLetter"/>
      <w:lvlText w:val="%2."/>
      <w:lvlJc w:val="left"/>
      <w:pPr>
        <w:ind w:left="1794" w:hanging="360"/>
      </w:pPr>
    </w:lvl>
    <w:lvl w:ilvl="2" w:tplc="2C0A001B" w:tentative="1">
      <w:start w:val="1"/>
      <w:numFmt w:val="lowerRoman"/>
      <w:lvlText w:val="%3."/>
      <w:lvlJc w:val="right"/>
      <w:pPr>
        <w:ind w:left="2514" w:hanging="180"/>
      </w:pPr>
    </w:lvl>
    <w:lvl w:ilvl="3" w:tplc="2C0A000F" w:tentative="1">
      <w:start w:val="1"/>
      <w:numFmt w:val="decimal"/>
      <w:lvlText w:val="%4."/>
      <w:lvlJc w:val="left"/>
      <w:pPr>
        <w:ind w:left="3234" w:hanging="360"/>
      </w:pPr>
    </w:lvl>
    <w:lvl w:ilvl="4" w:tplc="2C0A0019" w:tentative="1">
      <w:start w:val="1"/>
      <w:numFmt w:val="lowerLetter"/>
      <w:lvlText w:val="%5."/>
      <w:lvlJc w:val="left"/>
      <w:pPr>
        <w:ind w:left="3954" w:hanging="360"/>
      </w:pPr>
    </w:lvl>
    <w:lvl w:ilvl="5" w:tplc="2C0A001B" w:tentative="1">
      <w:start w:val="1"/>
      <w:numFmt w:val="lowerRoman"/>
      <w:lvlText w:val="%6."/>
      <w:lvlJc w:val="right"/>
      <w:pPr>
        <w:ind w:left="4674" w:hanging="180"/>
      </w:pPr>
    </w:lvl>
    <w:lvl w:ilvl="6" w:tplc="2C0A000F" w:tentative="1">
      <w:start w:val="1"/>
      <w:numFmt w:val="decimal"/>
      <w:lvlText w:val="%7."/>
      <w:lvlJc w:val="left"/>
      <w:pPr>
        <w:ind w:left="5394" w:hanging="360"/>
      </w:pPr>
    </w:lvl>
    <w:lvl w:ilvl="7" w:tplc="2C0A0019" w:tentative="1">
      <w:start w:val="1"/>
      <w:numFmt w:val="lowerLetter"/>
      <w:lvlText w:val="%8."/>
      <w:lvlJc w:val="left"/>
      <w:pPr>
        <w:ind w:left="6114" w:hanging="360"/>
      </w:pPr>
    </w:lvl>
    <w:lvl w:ilvl="8" w:tplc="2C0A001B" w:tentative="1">
      <w:start w:val="1"/>
      <w:numFmt w:val="lowerRoman"/>
      <w:lvlText w:val="%9."/>
      <w:lvlJc w:val="right"/>
      <w:pPr>
        <w:ind w:left="6834" w:hanging="180"/>
      </w:pPr>
    </w:lvl>
  </w:abstractNum>
  <w:abstractNum w:abstractNumId="2">
    <w:nsid w:val="553A622F"/>
    <w:multiLevelType w:val="hybridMultilevel"/>
    <w:tmpl w:val="FDA0A8D6"/>
    <w:lvl w:ilvl="0" w:tplc="2C0A0001">
      <w:start w:val="1"/>
      <w:numFmt w:val="bullet"/>
      <w:lvlText w:val=""/>
      <w:lvlJc w:val="left"/>
      <w:pPr>
        <w:ind w:left="1434" w:hanging="360"/>
      </w:pPr>
      <w:rPr>
        <w:rFonts w:ascii="Symbol" w:hAnsi="Symbol" w:hint="default"/>
      </w:rPr>
    </w:lvl>
    <w:lvl w:ilvl="1" w:tplc="2C0A0003" w:tentative="1">
      <w:start w:val="1"/>
      <w:numFmt w:val="bullet"/>
      <w:lvlText w:val="o"/>
      <w:lvlJc w:val="left"/>
      <w:pPr>
        <w:ind w:left="2154" w:hanging="360"/>
      </w:pPr>
      <w:rPr>
        <w:rFonts w:ascii="Courier New" w:hAnsi="Courier New" w:cs="Courier New" w:hint="default"/>
      </w:rPr>
    </w:lvl>
    <w:lvl w:ilvl="2" w:tplc="2C0A0005" w:tentative="1">
      <w:start w:val="1"/>
      <w:numFmt w:val="bullet"/>
      <w:lvlText w:val=""/>
      <w:lvlJc w:val="left"/>
      <w:pPr>
        <w:ind w:left="2874" w:hanging="360"/>
      </w:pPr>
      <w:rPr>
        <w:rFonts w:ascii="Wingdings" w:hAnsi="Wingdings" w:hint="default"/>
      </w:rPr>
    </w:lvl>
    <w:lvl w:ilvl="3" w:tplc="2C0A0001" w:tentative="1">
      <w:start w:val="1"/>
      <w:numFmt w:val="bullet"/>
      <w:lvlText w:val=""/>
      <w:lvlJc w:val="left"/>
      <w:pPr>
        <w:ind w:left="3594" w:hanging="360"/>
      </w:pPr>
      <w:rPr>
        <w:rFonts w:ascii="Symbol" w:hAnsi="Symbol" w:hint="default"/>
      </w:rPr>
    </w:lvl>
    <w:lvl w:ilvl="4" w:tplc="2C0A0003" w:tentative="1">
      <w:start w:val="1"/>
      <w:numFmt w:val="bullet"/>
      <w:lvlText w:val="o"/>
      <w:lvlJc w:val="left"/>
      <w:pPr>
        <w:ind w:left="4314" w:hanging="360"/>
      </w:pPr>
      <w:rPr>
        <w:rFonts w:ascii="Courier New" w:hAnsi="Courier New" w:cs="Courier New" w:hint="default"/>
      </w:rPr>
    </w:lvl>
    <w:lvl w:ilvl="5" w:tplc="2C0A0005" w:tentative="1">
      <w:start w:val="1"/>
      <w:numFmt w:val="bullet"/>
      <w:lvlText w:val=""/>
      <w:lvlJc w:val="left"/>
      <w:pPr>
        <w:ind w:left="5034" w:hanging="360"/>
      </w:pPr>
      <w:rPr>
        <w:rFonts w:ascii="Wingdings" w:hAnsi="Wingdings" w:hint="default"/>
      </w:rPr>
    </w:lvl>
    <w:lvl w:ilvl="6" w:tplc="2C0A0001" w:tentative="1">
      <w:start w:val="1"/>
      <w:numFmt w:val="bullet"/>
      <w:lvlText w:val=""/>
      <w:lvlJc w:val="left"/>
      <w:pPr>
        <w:ind w:left="5754" w:hanging="360"/>
      </w:pPr>
      <w:rPr>
        <w:rFonts w:ascii="Symbol" w:hAnsi="Symbol" w:hint="default"/>
      </w:rPr>
    </w:lvl>
    <w:lvl w:ilvl="7" w:tplc="2C0A0003" w:tentative="1">
      <w:start w:val="1"/>
      <w:numFmt w:val="bullet"/>
      <w:lvlText w:val="o"/>
      <w:lvlJc w:val="left"/>
      <w:pPr>
        <w:ind w:left="6474" w:hanging="360"/>
      </w:pPr>
      <w:rPr>
        <w:rFonts w:ascii="Courier New" w:hAnsi="Courier New" w:cs="Courier New" w:hint="default"/>
      </w:rPr>
    </w:lvl>
    <w:lvl w:ilvl="8" w:tplc="2C0A0005" w:tentative="1">
      <w:start w:val="1"/>
      <w:numFmt w:val="bullet"/>
      <w:lvlText w:val=""/>
      <w:lvlJc w:val="left"/>
      <w:pPr>
        <w:ind w:left="7194" w:hanging="360"/>
      </w:pPr>
      <w:rPr>
        <w:rFonts w:ascii="Wingdings" w:hAnsi="Wingdings" w:hint="default"/>
      </w:rPr>
    </w:lvl>
  </w:abstractNum>
  <w:abstractNum w:abstractNumId="3">
    <w:nsid w:val="73892D96"/>
    <w:multiLevelType w:val="hybridMultilevel"/>
    <w:tmpl w:val="3E3A9C0E"/>
    <w:lvl w:ilvl="0" w:tplc="2C0A0001">
      <w:start w:val="1"/>
      <w:numFmt w:val="bullet"/>
      <w:lvlText w:val=""/>
      <w:lvlJc w:val="left"/>
      <w:pPr>
        <w:ind w:left="1074" w:hanging="360"/>
      </w:pPr>
      <w:rPr>
        <w:rFonts w:ascii="Symbol" w:hAnsi="Symbol" w:hint="default"/>
      </w:rPr>
    </w:lvl>
    <w:lvl w:ilvl="1" w:tplc="2C0A0019" w:tentative="1">
      <w:start w:val="1"/>
      <w:numFmt w:val="lowerLetter"/>
      <w:lvlText w:val="%2."/>
      <w:lvlJc w:val="left"/>
      <w:pPr>
        <w:ind w:left="1794" w:hanging="360"/>
      </w:pPr>
    </w:lvl>
    <w:lvl w:ilvl="2" w:tplc="2C0A001B" w:tentative="1">
      <w:start w:val="1"/>
      <w:numFmt w:val="lowerRoman"/>
      <w:lvlText w:val="%3."/>
      <w:lvlJc w:val="right"/>
      <w:pPr>
        <w:ind w:left="2514" w:hanging="180"/>
      </w:pPr>
    </w:lvl>
    <w:lvl w:ilvl="3" w:tplc="2C0A000F" w:tentative="1">
      <w:start w:val="1"/>
      <w:numFmt w:val="decimal"/>
      <w:lvlText w:val="%4."/>
      <w:lvlJc w:val="left"/>
      <w:pPr>
        <w:ind w:left="3234" w:hanging="360"/>
      </w:pPr>
    </w:lvl>
    <w:lvl w:ilvl="4" w:tplc="2C0A0019" w:tentative="1">
      <w:start w:val="1"/>
      <w:numFmt w:val="lowerLetter"/>
      <w:lvlText w:val="%5."/>
      <w:lvlJc w:val="left"/>
      <w:pPr>
        <w:ind w:left="3954" w:hanging="360"/>
      </w:pPr>
    </w:lvl>
    <w:lvl w:ilvl="5" w:tplc="2C0A001B" w:tentative="1">
      <w:start w:val="1"/>
      <w:numFmt w:val="lowerRoman"/>
      <w:lvlText w:val="%6."/>
      <w:lvlJc w:val="right"/>
      <w:pPr>
        <w:ind w:left="4674" w:hanging="180"/>
      </w:pPr>
    </w:lvl>
    <w:lvl w:ilvl="6" w:tplc="2C0A000F" w:tentative="1">
      <w:start w:val="1"/>
      <w:numFmt w:val="decimal"/>
      <w:lvlText w:val="%7."/>
      <w:lvlJc w:val="left"/>
      <w:pPr>
        <w:ind w:left="5394" w:hanging="360"/>
      </w:pPr>
    </w:lvl>
    <w:lvl w:ilvl="7" w:tplc="2C0A0019" w:tentative="1">
      <w:start w:val="1"/>
      <w:numFmt w:val="lowerLetter"/>
      <w:lvlText w:val="%8."/>
      <w:lvlJc w:val="left"/>
      <w:pPr>
        <w:ind w:left="6114" w:hanging="360"/>
      </w:pPr>
    </w:lvl>
    <w:lvl w:ilvl="8" w:tplc="2C0A001B" w:tentative="1">
      <w:start w:val="1"/>
      <w:numFmt w:val="lowerRoman"/>
      <w:lvlText w:val="%9."/>
      <w:lvlJc w:val="right"/>
      <w:pPr>
        <w:ind w:left="6834" w:hanging="180"/>
      </w:pPr>
    </w:lvl>
  </w:abstractNum>
  <w:abstractNum w:abstractNumId="4">
    <w:nsid w:val="7A71174B"/>
    <w:multiLevelType w:val="hybridMultilevel"/>
    <w:tmpl w:val="9C284C1E"/>
    <w:lvl w:ilvl="0" w:tplc="2C0A0001">
      <w:start w:val="1"/>
      <w:numFmt w:val="bullet"/>
      <w:lvlText w:val=""/>
      <w:lvlJc w:val="left"/>
      <w:pPr>
        <w:ind w:left="1434" w:hanging="360"/>
      </w:pPr>
      <w:rPr>
        <w:rFonts w:ascii="Symbol" w:hAnsi="Symbol" w:hint="default"/>
      </w:rPr>
    </w:lvl>
    <w:lvl w:ilvl="1" w:tplc="2C0A0003" w:tentative="1">
      <w:start w:val="1"/>
      <w:numFmt w:val="bullet"/>
      <w:lvlText w:val="o"/>
      <w:lvlJc w:val="left"/>
      <w:pPr>
        <w:ind w:left="2154" w:hanging="360"/>
      </w:pPr>
      <w:rPr>
        <w:rFonts w:ascii="Courier New" w:hAnsi="Courier New" w:cs="Courier New" w:hint="default"/>
      </w:rPr>
    </w:lvl>
    <w:lvl w:ilvl="2" w:tplc="2C0A0005" w:tentative="1">
      <w:start w:val="1"/>
      <w:numFmt w:val="bullet"/>
      <w:lvlText w:val=""/>
      <w:lvlJc w:val="left"/>
      <w:pPr>
        <w:ind w:left="2874" w:hanging="360"/>
      </w:pPr>
      <w:rPr>
        <w:rFonts w:ascii="Wingdings" w:hAnsi="Wingdings" w:hint="default"/>
      </w:rPr>
    </w:lvl>
    <w:lvl w:ilvl="3" w:tplc="2C0A0001" w:tentative="1">
      <w:start w:val="1"/>
      <w:numFmt w:val="bullet"/>
      <w:lvlText w:val=""/>
      <w:lvlJc w:val="left"/>
      <w:pPr>
        <w:ind w:left="3594" w:hanging="360"/>
      </w:pPr>
      <w:rPr>
        <w:rFonts w:ascii="Symbol" w:hAnsi="Symbol" w:hint="default"/>
      </w:rPr>
    </w:lvl>
    <w:lvl w:ilvl="4" w:tplc="2C0A0003" w:tentative="1">
      <w:start w:val="1"/>
      <w:numFmt w:val="bullet"/>
      <w:lvlText w:val="o"/>
      <w:lvlJc w:val="left"/>
      <w:pPr>
        <w:ind w:left="4314" w:hanging="360"/>
      </w:pPr>
      <w:rPr>
        <w:rFonts w:ascii="Courier New" w:hAnsi="Courier New" w:cs="Courier New" w:hint="default"/>
      </w:rPr>
    </w:lvl>
    <w:lvl w:ilvl="5" w:tplc="2C0A0005" w:tentative="1">
      <w:start w:val="1"/>
      <w:numFmt w:val="bullet"/>
      <w:lvlText w:val=""/>
      <w:lvlJc w:val="left"/>
      <w:pPr>
        <w:ind w:left="5034" w:hanging="360"/>
      </w:pPr>
      <w:rPr>
        <w:rFonts w:ascii="Wingdings" w:hAnsi="Wingdings" w:hint="default"/>
      </w:rPr>
    </w:lvl>
    <w:lvl w:ilvl="6" w:tplc="2C0A0001" w:tentative="1">
      <w:start w:val="1"/>
      <w:numFmt w:val="bullet"/>
      <w:lvlText w:val=""/>
      <w:lvlJc w:val="left"/>
      <w:pPr>
        <w:ind w:left="5754" w:hanging="360"/>
      </w:pPr>
      <w:rPr>
        <w:rFonts w:ascii="Symbol" w:hAnsi="Symbol" w:hint="default"/>
      </w:rPr>
    </w:lvl>
    <w:lvl w:ilvl="7" w:tplc="2C0A0003" w:tentative="1">
      <w:start w:val="1"/>
      <w:numFmt w:val="bullet"/>
      <w:lvlText w:val="o"/>
      <w:lvlJc w:val="left"/>
      <w:pPr>
        <w:ind w:left="6474" w:hanging="360"/>
      </w:pPr>
      <w:rPr>
        <w:rFonts w:ascii="Courier New" w:hAnsi="Courier New" w:cs="Courier New" w:hint="default"/>
      </w:rPr>
    </w:lvl>
    <w:lvl w:ilvl="8" w:tplc="2C0A0005" w:tentative="1">
      <w:start w:val="1"/>
      <w:numFmt w:val="bullet"/>
      <w:lvlText w:val=""/>
      <w:lvlJc w:val="left"/>
      <w:pPr>
        <w:ind w:left="7194"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rawingGridHorizontalSpacing w:val="120"/>
  <w:drawingGridVerticalSpacing w:val="163"/>
  <w:displayHorizontalDrawingGridEvery w:val="0"/>
  <w:displayVerticalDrawingGridEvery w:val="2"/>
  <w:noPunctuationKerning/>
  <w:characterSpacingControl w:val="doNotCompress"/>
  <w:compat/>
  <w:rsids>
    <w:rsidRoot w:val="00376EF0"/>
    <w:rsid w:val="0004536A"/>
    <w:rsid w:val="000630E1"/>
    <w:rsid w:val="000A499A"/>
    <w:rsid w:val="000B4FCC"/>
    <w:rsid w:val="000D3C40"/>
    <w:rsid w:val="000F0F99"/>
    <w:rsid w:val="0011266C"/>
    <w:rsid w:val="00123BEC"/>
    <w:rsid w:val="0012747E"/>
    <w:rsid w:val="0015362A"/>
    <w:rsid w:val="00170B04"/>
    <w:rsid w:val="00190E9F"/>
    <w:rsid w:val="001A006D"/>
    <w:rsid w:val="001A70AD"/>
    <w:rsid w:val="002108C7"/>
    <w:rsid w:val="00275CD0"/>
    <w:rsid w:val="002A5323"/>
    <w:rsid w:val="002B422A"/>
    <w:rsid w:val="00303DDE"/>
    <w:rsid w:val="00332ED1"/>
    <w:rsid w:val="00334D84"/>
    <w:rsid w:val="00376EF0"/>
    <w:rsid w:val="003B389D"/>
    <w:rsid w:val="004260A4"/>
    <w:rsid w:val="00473765"/>
    <w:rsid w:val="004C673C"/>
    <w:rsid w:val="005350B6"/>
    <w:rsid w:val="0059204C"/>
    <w:rsid w:val="005930EF"/>
    <w:rsid w:val="005B231C"/>
    <w:rsid w:val="005B7EF7"/>
    <w:rsid w:val="005E6F88"/>
    <w:rsid w:val="005F357B"/>
    <w:rsid w:val="00644B22"/>
    <w:rsid w:val="00654950"/>
    <w:rsid w:val="006551AA"/>
    <w:rsid w:val="006D0E2C"/>
    <w:rsid w:val="006D1FC6"/>
    <w:rsid w:val="00707D64"/>
    <w:rsid w:val="007402DE"/>
    <w:rsid w:val="00761C9D"/>
    <w:rsid w:val="007E3EC9"/>
    <w:rsid w:val="008766B8"/>
    <w:rsid w:val="0088188F"/>
    <w:rsid w:val="00890A4D"/>
    <w:rsid w:val="008A0678"/>
    <w:rsid w:val="008A18FE"/>
    <w:rsid w:val="008A25D3"/>
    <w:rsid w:val="008C7AA9"/>
    <w:rsid w:val="008D247D"/>
    <w:rsid w:val="008F049B"/>
    <w:rsid w:val="00915596"/>
    <w:rsid w:val="00933FBA"/>
    <w:rsid w:val="009439D0"/>
    <w:rsid w:val="00964AAF"/>
    <w:rsid w:val="009B3C84"/>
    <w:rsid w:val="009F38F6"/>
    <w:rsid w:val="00A156B9"/>
    <w:rsid w:val="00A16FCF"/>
    <w:rsid w:val="00A326E0"/>
    <w:rsid w:val="00B2323C"/>
    <w:rsid w:val="00B3194C"/>
    <w:rsid w:val="00B4778B"/>
    <w:rsid w:val="00B90E5F"/>
    <w:rsid w:val="00BB3C3B"/>
    <w:rsid w:val="00BC30EE"/>
    <w:rsid w:val="00BF2E7C"/>
    <w:rsid w:val="00C378E8"/>
    <w:rsid w:val="00CA21C5"/>
    <w:rsid w:val="00CD5F6A"/>
    <w:rsid w:val="00CF6D49"/>
    <w:rsid w:val="00D9651E"/>
    <w:rsid w:val="00DC1680"/>
    <w:rsid w:val="00DD2D20"/>
    <w:rsid w:val="00DE1536"/>
    <w:rsid w:val="00E2040D"/>
    <w:rsid w:val="00E23305"/>
    <w:rsid w:val="00EF4B1C"/>
    <w:rsid w:val="00F1454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8E8"/>
    <w:pPr>
      <w:spacing w:before="120" w:line="480" w:lineRule="auto"/>
      <w:ind w:left="714" w:firstLine="2268"/>
      <w:jc w:val="both"/>
    </w:pPr>
    <w:rPr>
      <w:rFonts w:ascii="Arial" w:hAnsi="Arial"/>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99"/>
    <w:qFormat/>
    <w:rsid w:val="005B231C"/>
    <w:pPr>
      <w:spacing w:line="240" w:lineRule="auto"/>
      <w:ind w:left="170" w:right="170" w:firstLine="0"/>
    </w:pPr>
    <w:rPr>
      <w:b/>
      <w:i/>
    </w:rPr>
  </w:style>
  <w:style w:type="character" w:customStyle="1" w:styleId="CitaCar">
    <w:name w:val="Cita Car"/>
    <w:basedOn w:val="Fuentedeprrafopredeter"/>
    <w:link w:val="Cita"/>
    <w:uiPriority w:val="29"/>
    <w:rsid w:val="00B96FF8"/>
    <w:rPr>
      <w:rFonts w:ascii="Arial" w:hAnsi="Arial"/>
      <w:i/>
      <w:iCs/>
      <w:color w:val="000000" w:themeColor="text1"/>
      <w:sz w:val="24"/>
      <w:szCs w:val="20"/>
    </w:rPr>
  </w:style>
  <w:style w:type="paragraph" w:customStyle="1" w:styleId="Simple">
    <w:name w:val="Simple"/>
    <w:basedOn w:val="Normal"/>
    <w:uiPriority w:val="99"/>
    <w:rsid w:val="005B231C"/>
    <w:pPr>
      <w:spacing w:line="240" w:lineRule="auto"/>
    </w:pPr>
  </w:style>
  <w:style w:type="paragraph" w:customStyle="1" w:styleId="Derecha">
    <w:name w:val="Derecha"/>
    <w:basedOn w:val="Simple"/>
    <w:next w:val="Normal"/>
    <w:uiPriority w:val="99"/>
    <w:rsid w:val="005B231C"/>
    <w:pPr>
      <w:ind w:firstLine="0"/>
      <w:jc w:val="right"/>
    </w:pPr>
  </w:style>
  <w:style w:type="paragraph" w:customStyle="1" w:styleId="Estilo1">
    <w:name w:val="Estilo1"/>
    <w:basedOn w:val="Normal"/>
    <w:autoRedefine/>
    <w:uiPriority w:val="99"/>
    <w:rsid w:val="005B231C"/>
  </w:style>
  <w:style w:type="paragraph" w:customStyle="1" w:styleId="Estilo2">
    <w:name w:val="Estilo2"/>
    <w:basedOn w:val="Normal"/>
    <w:next w:val="Normal"/>
    <w:uiPriority w:val="99"/>
    <w:rsid w:val="005B231C"/>
    <w:pPr>
      <w:ind w:firstLine="0"/>
    </w:pPr>
  </w:style>
  <w:style w:type="paragraph" w:customStyle="1" w:styleId="Fallo">
    <w:name w:val="Fallo"/>
    <w:basedOn w:val="Cita"/>
    <w:next w:val="Normal"/>
    <w:uiPriority w:val="99"/>
    <w:rsid w:val="005B231C"/>
    <w:rPr>
      <w:i w:val="0"/>
    </w:rPr>
  </w:style>
  <w:style w:type="paragraph" w:customStyle="1" w:styleId="Margen">
    <w:name w:val="Margen"/>
    <w:basedOn w:val="Normal"/>
    <w:uiPriority w:val="99"/>
    <w:rsid w:val="000A499A"/>
    <w:pPr>
      <w:ind w:firstLine="0"/>
    </w:pPr>
  </w:style>
  <w:style w:type="paragraph" w:customStyle="1" w:styleId="TITULO">
    <w:name w:val="TITULO"/>
    <w:basedOn w:val="Normal"/>
    <w:uiPriority w:val="99"/>
    <w:rsid w:val="000A499A"/>
    <w:pPr>
      <w:ind w:firstLine="0"/>
      <w:jc w:val="center"/>
    </w:pPr>
    <w:rPr>
      <w:b/>
      <w:smallCaps/>
      <w:sz w:val="28"/>
      <w:u w:val="single"/>
    </w:rPr>
  </w:style>
  <w:style w:type="paragraph" w:customStyle="1" w:styleId="Ttulocentrado">
    <w:name w:val="Títulocentrado"/>
    <w:basedOn w:val="Normal"/>
    <w:next w:val="Normal"/>
    <w:uiPriority w:val="99"/>
    <w:rsid w:val="005B231C"/>
    <w:pPr>
      <w:spacing w:after="360" w:line="240" w:lineRule="auto"/>
      <w:ind w:firstLine="0"/>
      <w:jc w:val="center"/>
    </w:pPr>
    <w:rPr>
      <w:b/>
      <w:smallCaps/>
      <w:spacing w:val="40"/>
      <w:sz w:val="28"/>
      <w:u w:val="single"/>
    </w:rPr>
  </w:style>
  <w:style w:type="paragraph" w:customStyle="1" w:styleId="TituloMargen">
    <w:name w:val="Titulo Margen"/>
    <w:basedOn w:val="Margen"/>
    <w:next w:val="Normal"/>
    <w:uiPriority w:val="99"/>
    <w:rsid w:val="005B231C"/>
    <w:pPr>
      <w:keepNext/>
    </w:pPr>
    <w:rPr>
      <w:b/>
      <w:u w:val="thick"/>
    </w:rPr>
  </w:style>
  <w:style w:type="paragraph" w:customStyle="1" w:styleId="Liquidacin">
    <w:name w:val="Liquidación"/>
    <w:basedOn w:val="Margen"/>
    <w:uiPriority w:val="99"/>
    <w:rsid w:val="00E23305"/>
    <w:pPr>
      <w:tabs>
        <w:tab w:val="left" w:pos="4253"/>
        <w:tab w:val="decimal" w:pos="5670"/>
        <w:tab w:val="decimal" w:pos="7088"/>
      </w:tabs>
      <w:spacing w:before="0" w:line="240" w:lineRule="auto"/>
      <w:ind w:left="284" w:right="170"/>
    </w:pPr>
  </w:style>
  <w:style w:type="paragraph" w:customStyle="1" w:styleId="NotaalPie">
    <w:name w:val="Nota al Pie"/>
    <w:basedOn w:val="Normal"/>
    <w:uiPriority w:val="99"/>
    <w:rsid w:val="005B231C"/>
    <w:pPr>
      <w:overflowPunct w:val="0"/>
      <w:autoSpaceDE w:val="0"/>
      <w:autoSpaceDN w:val="0"/>
      <w:adjustRightInd w:val="0"/>
      <w:spacing w:before="0" w:line="240" w:lineRule="auto"/>
      <w:ind w:firstLine="0"/>
      <w:textAlignment w:val="baseline"/>
    </w:pPr>
    <w:rPr>
      <w:kern w:val="28"/>
      <w:sz w:val="20"/>
      <w:lang w:val="es-ES_tradnl"/>
    </w:rPr>
  </w:style>
  <w:style w:type="paragraph" w:styleId="Textonotapie">
    <w:name w:val="footnote text"/>
    <w:basedOn w:val="Normal"/>
    <w:link w:val="TextonotapieCar"/>
    <w:uiPriority w:val="99"/>
    <w:semiHidden/>
    <w:rsid w:val="005B231C"/>
    <w:pPr>
      <w:spacing w:line="120" w:lineRule="atLeast"/>
      <w:ind w:firstLine="0"/>
    </w:pPr>
    <w:rPr>
      <w:kern w:val="28"/>
      <w:sz w:val="20"/>
      <w:lang w:val="es-ES_tradnl"/>
    </w:rPr>
  </w:style>
  <w:style w:type="character" w:customStyle="1" w:styleId="TextonotapieCar">
    <w:name w:val="Texto nota pie Car"/>
    <w:basedOn w:val="Fuentedeprrafopredeter"/>
    <w:link w:val="Textonotapie"/>
    <w:uiPriority w:val="99"/>
    <w:semiHidden/>
    <w:rsid w:val="00B96FF8"/>
    <w:rPr>
      <w:rFonts w:ascii="Arial" w:hAnsi="Arial"/>
      <w:sz w:val="20"/>
      <w:szCs w:val="20"/>
    </w:rPr>
  </w:style>
  <w:style w:type="paragraph" w:customStyle="1" w:styleId="TtuloMargen">
    <w:name w:val="Título Margen"/>
    <w:basedOn w:val="Margen"/>
    <w:next w:val="Normal"/>
    <w:autoRedefine/>
    <w:uiPriority w:val="99"/>
    <w:rsid w:val="005B231C"/>
    <w:rPr>
      <w:b/>
      <w:smallCaps/>
    </w:rPr>
  </w:style>
  <w:style w:type="paragraph" w:customStyle="1" w:styleId="TituloCentrado">
    <w:name w:val="Titulo Centrado"/>
    <w:basedOn w:val="Normal"/>
    <w:uiPriority w:val="99"/>
    <w:rsid w:val="00332ED1"/>
    <w:pPr>
      <w:overflowPunct w:val="0"/>
      <w:autoSpaceDE w:val="0"/>
      <w:autoSpaceDN w:val="0"/>
      <w:adjustRightInd w:val="0"/>
      <w:spacing w:before="0"/>
      <w:ind w:firstLine="0"/>
      <w:jc w:val="center"/>
      <w:textAlignment w:val="baseline"/>
    </w:pPr>
    <w:rPr>
      <w:b/>
      <w:smallCaps/>
      <w:spacing w:val="30"/>
      <w:sz w:val="28"/>
      <w:u w:val="single"/>
      <w:lang w:val="es-ES_tradnl"/>
    </w:rPr>
  </w:style>
  <w:style w:type="character" w:styleId="Hipervnculo">
    <w:name w:val="Hyperlink"/>
    <w:basedOn w:val="Fuentedeprrafopredeter"/>
    <w:uiPriority w:val="99"/>
    <w:unhideWhenUsed/>
    <w:rsid w:val="00B3194C"/>
    <w:rPr>
      <w:color w:val="0000FF" w:themeColor="hyperlink"/>
      <w:u w:val="single"/>
    </w:rPr>
  </w:style>
  <w:style w:type="paragraph" w:customStyle="1" w:styleId="Parrafosimple">
    <w:name w:val="Parrafo simple"/>
    <w:basedOn w:val="Normal"/>
    <w:qFormat/>
    <w:rsid w:val="00761C9D"/>
    <w:pPr>
      <w:spacing w:line="240" w:lineRule="auto"/>
      <w:ind w:left="0" w:firstLine="709"/>
    </w:pPr>
    <w:rPr>
      <w:kern w:val="28"/>
      <w:lang w:val="es-ES_tradnl"/>
    </w:rPr>
  </w:style>
  <w:style w:type="paragraph" w:styleId="NormalWeb">
    <w:name w:val="Normal (Web)"/>
    <w:basedOn w:val="Normal"/>
    <w:uiPriority w:val="99"/>
    <w:semiHidden/>
    <w:unhideWhenUsed/>
    <w:rsid w:val="00376EF0"/>
    <w:pPr>
      <w:spacing w:before="150" w:after="300" w:line="240" w:lineRule="auto"/>
      <w:ind w:left="600" w:right="600" w:firstLine="0"/>
      <w:jc w:val="left"/>
    </w:pPr>
    <w:rPr>
      <w:rFonts w:ascii="Times New Roman" w:hAnsi="Times New Roman"/>
      <w:color w:val="000000"/>
      <w:sz w:val="18"/>
      <w:szCs w:val="18"/>
      <w:lang w:val="es-AR" w:eastAsia="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slerner\AppData\Roaming\Microsoft\Plantillas\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3A0482-3EF2-429B-88FE-40304BD3F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Circular</Template>
  <TotalTime>1</TotalTime>
  <Pages>2</Pages>
  <Words>865</Words>
  <Characters>4761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CIRCULAR:</vt:lpstr>
    </vt:vector>
  </TitlesOfParts>
  <Company>--------------</Company>
  <LinksUpToDate>false</LinksUpToDate>
  <CharactersWithSpaces>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dc:title>
  <dc:creator>carloslerner</dc:creator>
  <cp:lastModifiedBy>carloslerner</cp:lastModifiedBy>
  <cp:revision>1</cp:revision>
  <cp:lastPrinted>2013-03-30T13:38:00Z</cp:lastPrinted>
  <dcterms:created xsi:type="dcterms:W3CDTF">2018-12-01T20:08:00Z</dcterms:created>
  <dcterms:modified xsi:type="dcterms:W3CDTF">2018-12-01T20:09:00Z</dcterms:modified>
</cp:coreProperties>
</file>