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4BCB" w14:textId="3C0E02A1" w:rsidR="0095478D" w:rsidRDefault="0095478D" w:rsidP="0095478D">
      <w:pPr>
        <w:ind w:left="0" w:firstLine="0"/>
        <w:jc w:val="center"/>
        <w:rPr>
          <w:b/>
          <w:bCs/>
          <w:u w:val="single"/>
        </w:rPr>
      </w:pPr>
      <w:r w:rsidRPr="00310A0B">
        <w:rPr>
          <w:b/>
          <w:bCs/>
          <w:u w:val="single"/>
        </w:rPr>
        <w:t>Exhibición y Publicidad de Precios</w:t>
      </w:r>
    </w:p>
    <w:p w14:paraId="354F8363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>Las normas que regulan la exhibición de los precios al consumidor han sido motivo de diversas regulaciones. La última de ellas es la Resolución 4/2025 de la Secretaría de Industria y Comercio.</w:t>
      </w:r>
    </w:p>
    <w:p w14:paraId="4670423C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 xml:space="preserve">Esta resolución fue publicada en el Boletín Oficial del 17 de enero de 2025 y </w:t>
      </w:r>
      <w:proofErr w:type="gramStart"/>
      <w:r>
        <w:rPr>
          <w:b/>
          <w:sz w:val="20"/>
        </w:rPr>
        <w:t>entró en vigencia</w:t>
      </w:r>
      <w:proofErr w:type="gramEnd"/>
      <w:r>
        <w:rPr>
          <w:b/>
          <w:sz w:val="20"/>
        </w:rPr>
        <w:t xml:space="preserve"> el día 18 del mismo mes.</w:t>
      </w:r>
    </w:p>
    <w:p w14:paraId="5BA9C665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</w:p>
    <w:p w14:paraId="1B2CFF4A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 xml:space="preserve">Se aplica a quienes ofrezcan </w:t>
      </w:r>
      <w:r w:rsidRPr="004C0D61">
        <w:rPr>
          <w:b/>
          <w:sz w:val="20"/>
          <w:u w:val="single"/>
        </w:rPr>
        <w:t>en forma directa</w:t>
      </w:r>
      <w:r>
        <w:rPr>
          <w:b/>
          <w:sz w:val="20"/>
        </w:rPr>
        <w:t xml:space="preserve"> bienes y servicios a destinatarios </w:t>
      </w:r>
      <w:r w:rsidRPr="004C0D61">
        <w:rPr>
          <w:b/>
          <w:sz w:val="20"/>
          <w:u w:val="single"/>
        </w:rPr>
        <w:t>finales</w:t>
      </w:r>
      <w:r>
        <w:rPr>
          <w:b/>
          <w:sz w:val="20"/>
        </w:rPr>
        <w:t xml:space="preserve"> de los mismos.</w:t>
      </w:r>
    </w:p>
    <w:p w14:paraId="284A7142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</w:p>
    <w:p w14:paraId="4AE7AD5E" w14:textId="7648C374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>Tanto en comercios, como en cualquier anuncio publicitario, los precios deben ser exhibidos en moneda de curso legal y forzoso en nuestro país</w:t>
      </w:r>
      <w:r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</w:rPr>
        <w:t xml:space="preserve">dicionalmente pueden expresarse en moneda extranjera y deben indicar el importe </w:t>
      </w:r>
      <w:r>
        <w:rPr>
          <w:b/>
          <w:sz w:val="20"/>
          <w:u w:val="single"/>
        </w:rPr>
        <w:t>total y final</w:t>
      </w:r>
      <w:r>
        <w:rPr>
          <w:b/>
          <w:sz w:val="20"/>
        </w:rPr>
        <w:t xml:space="preserve"> que debe abonar el consumidor. </w:t>
      </w:r>
    </w:p>
    <w:p w14:paraId="34F2D86C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>Los precios exhibidos en góndolas deben coincidir con los efectivamente cobrados en las cajas.</w:t>
      </w:r>
    </w:p>
    <w:p w14:paraId="636588F0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>Si se tratara de servicios prestados desde y/o hacia y/o en el exterior será suficiente exhibir y publicitar los precios en dólares estadounidenses.</w:t>
      </w:r>
    </w:p>
    <w:p w14:paraId="494359FF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</w:p>
    <w:p w14:paraId="37E05A50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  <w:r>
        <w:rPr>
          <w:b/>
          <w:sz w:val="20"/>
        </w:rPr>
        <w:t>Acompañado de la leyenda “</w:t>
      </w:r>
      <w:r>
        <w:rPr>
          <w:b/>
          <w:i/>
          <w:iCs/>
          <w:sz w:val="20"/>
        </w:rPr>
        <w:t>Precio sin Impuestos Nacionales”</w:t>
      </w:r>
      <w:r>
        <w:rPr>
          <w:b/>
          <w:sz w:val="20"/>
        </w:rPr>
        <w:t xml:space="preserve">, y en caracteres tipográficos menores a los correspondientes al importe final, debe informarse el importe neto (detraída la incidencia del </w:t>
      </w:r>
      <w:r w:rsidRPr="00320683">
        <w:rPr>
          <w:b/>
          <w:sz w:val="20"/>
          <w:lang w:val="es-AR"/>
        </w:rPr>
        <w:t>Impuesto al Valor Agrega</w:t>
      </w:r>
      <w:r>
        <w:rPr>
          <w:b/>
          <w:sz w:val="20"/>
          <w:lang w:val="es-AR"/>
        </w:rPr>
        <w:t xml:space="preserve">do y demás impuestos nacionales indirectos que impacten en el mismo). Esto no es necesario si: 1) se trata de precios financiados y/o; 2) de precios informados por unidad de medida 3) y/o de comercios minoristas que utilicen balanzas electrónicas que expidan tickets de papel o adhesivos </w:t>
      </w:r>
      <w:r>
        <w:rPr>
          <w:b/>
          <w:sz w:val="20"/>
        </w:rPr>
        <w:t>(lo expuesto en este párrafo es exigible a partir del 01 de abril de 2025)</w:t>
      </w:r>
    </w:p>
    <w:p w14:paraId="34F57E43" w14:textId="77777777" w:rsidR="0095478D" w:rsidRDefault="0095478D" w:rsidP="0095478D">
      <w:pPr>
        <w:pStyle w:val="Margen"/>
        <w:spacing w:line="120" w:lineRule="atLeast"/>
        <w:rPr>
          <w:b/>
          <w:sz w:val="20"/>
        </w:rPr>
      </w:pPr>
    </w:p>
    <w:p w14:paraId="48F9A9F4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  <w:r>
        <w:rPr>
          <w:b/>
          <w:sz w:val="20"/>
          <w:lang w:val="es-AR"/>
        </w:rPr>
        <w:t>Si se exhibieren precio financiados, debe indicarse el precio de contado, la cantidad y monto de cada cuota y el costo financiero efectivo total actual.</w:t>
      </w:r>
    </w:p>
    <w:p w14:paraId="2CF9D8C6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  <w:r>
        <w:rPr>
          <w:b/>
          <w:sz w:val="20"/>
          <w:lang w:val="es-AR"/>
        </w:rPr>
        <w:t>Con caracteres tipográficos menores a los del precio final, deberá indicarse el precio final de venta por unidad de medida que debe pagar el consumidor.</w:t>
      </w:r>
    </w:p>
    <w:p w14:paraId="07FDE353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  <w:r>
        <w:rPr>
          <w:b/>
          <w:sz w:val="20"/>
          <w:lang w:val="es-AR"/>
        </w:rPr>
        <w:t xml:space="preserve">La normativa detalla qué debe entenderse por unidad de medida: se refiere a kilogramo, metro, etc. que se utilice en forma habitual en la comercialización del producto (salvo que sea idéntico al precio de venta). </w:t>
      </w:r>
    </w:p>
    <w:p w14:paraId="32068DE4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</w:p>
    <w:p w14:paraId="407E3A25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  <w:r>
        <w:rPr>
          <w:b/>
          <w:sz w:val="20"/>
          <w:lang w:val="es-AR"/>
        </w:rPr>
        <w:t>La exhibición ha de ser, clara, visible, horizontal y sobre cada artículo, producto o grupo de la isma mercancía que se encuentre a la vista y alcance del consumidor. Cuando se realice mediante listas en los lugares de acceso, de venta o atención, a la vista del público en formato físico o digital.</w:t>
      </w:r>
    </w:p>
    <w:p w14:paraId="458980DF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</w:p>
    <w:p w14:paraId="4721C646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  <w:r>
        <w:rPr>
          <w:b/>
          <w:sz w:val="20"/>
          <w:lang w:val="es-AR"/>
        </w:rPr>
        <w:t>Los consumidores deben poder acceder a los precios en forma previa a la decisión de compra.</w:t>
      </w:r>
    </w:p>
    <w:p w14:paraId="75C04E68" w14:textId="77777777" w:rsidR="0095478D" w:rsidRDefault="0095478D" w:rsidP="0095478D">
      <w:pPr>
        <w:pStyle w:val="Margen"/>
        <w:spacing w:line="120" w:lineRule="atLeast"/>
        <w:jc w:val="right"/>
        <w:rPr>
          <w:b/>
          <w:i/>
          <w:iCs/>
          <w:sz w:val="20"/>
          <w:lang w:val="es-AR"/>
        </w:rPr>
      </w:pPr>
      <w:r>
        <w:rPr>
          <w:b/>
          <w:i/>
          <w:iCs/>
          <w:sz w:val="20"/>
          <w:lang w:val="es-AR"/>
        </w:rPr>
        <w:t>Carlos Oscar Lerner</w:t>
      </w:r>
    </w:p>
    <w:p w14:paraId="6D8CE9F5" w14:textId="77777777" w:rsidR="0095478D" w:rsidRPr="004B5E4B" w:rsidRDefault="0095478D" w:rsidP="0095478D">
      <w:pPr>
        <w:pStyle w:val="Margen"/>
        <w:spacing w:line="120" w:lineRule="atLeast"/>
        <w:jc w:val="right"/>
        <w:rPr>
          <w:b/>
          <w:i/>
          <w:iCs/>
          <w:sz w:val="20"/>
          <w:lang w:val="es-AR"/>
        </w:rPr>
      </w:pPr>
      <w:r>
        <w:rPr>
          <w:b/>
          <w:i/>
          <w:iCs/>
          <w:sz w:val="20"/>
          <w:lang w:val="es-AR"/>
        </w:rPr>
        <w:t xml:space="preserve">Buenos Aires, 19 de enero </w:t>
      </w:r>
      <w:proofErr w:type="spellStart"/>
      <w:r>
        <w:rPr>
          <w:b/>
          <w:i/>
          <w:iCs/>
          <w:sz w:val="20"/>
          <w:lang w:val="es-AR"/>
        </w:rPr>
        <w:t>e</w:t>
      </w:r>
      <w:proofErr w:type="spellEnd"/>
      <w:r>
        <w:rPr>
          <w:b/>
          <w:i/>
          <w:iCs/>
          <w:sz w:val="20"/>
          <w:lang w:val="es-AR"/>
        </w:rPr>
        <w:t xml:space="preserve"> 2025</w:t>
      </w:r>
    </w:p>
    <w:p w14:paraId="51F857B6" w14:textId="77777777" w:rsidR="0095478D" w:rsidRDefault="0095478D" w:rsidP="0095478D">
      <w:pPr>
        <w:pStyle w:val="Margen"/>
        <w:spacing w:line="120" w:lineRule="atLeast"/>
        <w:rPr>
          <w:b/>
          <w:sz w:val="20"/>
          <w:lang w:val="es-AR"/>
        </w:rPr>
      </w:pPr>
    </w:p>
    <w:p w14:paraId="3F49B6C3" w14:textId="77777777" w:rsidR="0095478D" w:rsidRPr="00320683" w:rsidRDefault="0095478D" w:rsidP="0095478D">
      <w:pPr>
        <w:pStyle w:val="Margen"/>
        <w:spacing w:line="120" w:lineRule="atLeast"/>
        <w:rPr>
          <w:b/>
          <w:sz w:val="20"/>
        </w:rPr>
      </w:pPr>
    </w:p>
    <w:p w14:paraId="09F521EC" w14:textId="77777777" w:rsidR="0095478D" w:rsidRDefault="0095478D" w:rsidP="0095478D">
      <w:pPr>
        <w:pStyle w:val="Margen"/>
        <w:spacing w:line="240" w:lineRule="auto"/>
        <w:jc w:val="right"/>
        <w:rPr>
          <w:sz w:val="20"/>
        </w:rPr>
      </w:pPr>
    </w:p>
    <w:p w14:paraId="1C230E5D" w14:textId="77777777" w:rsidR="0095478D" w:rsidRDefault="0095478D" w:rsidP="0095478D">
      <w:pPr>
        <w:pStyle w:val="Margen"/>
        <w:spacing w:line="120" w:lineRule="atLeast"/>
        <w:jc w:val="right"/>
        <w:rPr>
          <w:sz w:val="20"/>
        </w:rPr>
      </w:pPr>
    </w:p>
    <w:p w14:paraId="07EABF09" w14:textId="77777777" w:rsidR="0095478D" w:rsidRPr="00B4778B" w:rsidRDefault="0095478D" w:rsidP="0095478D">
      <w:pPr>
        <w:pStyle w:val="Margen"/>
        <w:spacing w:line="240" w:lineRule="auto"/>
        <w:rPr>
          <w:sz w:val="20"/>
        </w:rPr>
      </w:pPr>
    </w:p>
    <w:p w14:paraId="46DADDE7" w14:textId="77777777" w:rsidR="00933FBA" w:rsidRPr="0095478D" w:rsidRDefault="00933FBA" w:rsidP="0095478D"/>
    <w:sectPr w:rsidR="00933FBA" w:rsidRPr="0095478D" w:rsidSect="00A32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20163" w:code="5"/>
      <w:pgMar w:top="1418" w:right="1701" w:bottom="1418" w:left="1701" w:header="720" w:footer="720" w:gutter="102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D58F" w14:textId="77777777" w:rsidR="002B09C2" w:rsidRDefault="002B09C2">
      <w:r>
        <w:separator/>
      </w:r>
    </w:p>
  </w:endnote>
  <w:endnote w:type="continuationSeparator" w:id="0">
    <w:p w14:paraId="023DB241" w14:textId="77777777" w:rsidR="002B09C2" w:rsidRDefault="002B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933B" w14:textId="77777777" w:rsidR="00644201" w:rsidRDefault="00644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33C7" w14:textId="77777777" w:rsidR="004854F2" w:rsidRDefault="004854F2" w:rsidP="00644201">
    <w:pPr>
      <w:pStyle w:val="Piedepgina"/>
      <w:ind w:firstLine="0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0518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C104" w14:textId="77777777" w:rsidR="00644201" w:rsidRDefault="00644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5235" w14:textId="77777777" w:rsidR="002B09C2" w:rsidRDefault="002B09C2">
      <w:r>
        <w:separator/>
      </w:r>
    </w:p>
  </w:footnote>
  <w:footnote w:type="continuationSeparator" w:id="0">
    <w:p w14:paraId="6D8C0A06" w14:textId="77777777" w:rsidR="002B09C2" w:rsidRDefault="002B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D1A7" w14:textId="77777777" w:rsidR="00644201" w:rsidRDefault="00644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6EE1" w14:textId="77777777" w:rsidR="00644201" w:rsidRDefault="00644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CD47" w14:textId="77777777" w:rsidR="00644201" w:rsidRDefault="006442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3"/>
    <w:rsid w:val="000A499A"/>
    <w:rsid w:val="0022784D"/>
    <w:rsid w:val="00241A58"/>
    <w:rsid w:val="002453A4"/>
    <w:rsid w:val="002B09C2"/>
    <w:rsid w:val="003D0D17"/>
    <w:rsid w:val="004854F2"/>
    <w:rsid w:val="00644201"/>
    <w:rsid w:val="007863DE"/>
    <w:rsid w:val="00933FBA"/>
    <w:rsid w:val="0095478D"/>
    <w:rsid w:val="00A326E0"/>
    <w:rsid w:val="00B3007E"/>
    <w:rsid w:val="00BB3C3B"/>
    <w:rsid w:val="00C378E8"/>
    <w:rsid w:val="00E05183"/>
    <w:rsid w:val="00E23305"/>
    <w:rsid w:val="00EF4B1C"/>
    <w:rsid w:val="00F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4B34F"/>
  <w15:docId w15:val="{8CD46285-C5EF-4466-9D8A-8EF751F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78D"/>
    <w:pPr>
      <w:spacing w:before="120" w:line="480" w:lineRule="auto"/>
      <w:ind w:left="714" w:firstLine="2268"/>
      <w:jc w:val="both"/>
    </w:pPr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qFormat/>
    <w:pPr>
      <w:spacing w:line="240" w:lineRule="auto"/>
      <w:ind w:left="170" w:right="170" w:firstLine="0"/>
    </w:pPr>
    <w:rPr>
      <w:b/>
      <w:i/>
    </w:rPr>
  </w:style>
  <w:style w:type="paragraph" w:customStyle="1" w:styleId="Simple">
    <w:name w:val="Simple"/>
    <w:basedOn w:val="Normal"/>
    <w:pPr>
      <w:spacing w:line="240" w:lineRule="auto"/>
      <w:ind w:left="0"/>
    </w:pPr>
  </w:style>
  <w:style w:type="paragraph" w:customStyle="1" w:styleId="Derecha">
    <w:name w:val="Derecha"/>
    <w:basedOn w:val="Simple"/>
    <w:next w:val="Normal"/>
    <w:pPr>
      <w:ind w:firstLine="0"/>
      <w:jc w:val="right"/>
    </w:pPr>
  </w:style>
  <w:style w:type="paragraph" w:customStyle="1" w:styleId="Estilo1">
    <w:name w:val="Estilo1"/>
    <w:basedOn w:val="Normal"/>
    <w:autoRedefine/>
    <w:pPr>
      <w:ind w:left="0"/>
    </w:pPr>
  </w:style>
  <w:style w:type="paragraph" w:customStyle="1" w:styleId="Estilo2">
    <w:name w:val="Estilo2"/>
    <w:basedOn w:val="Normal"/>
    <w:next w:val="Normal"/>
    <w:pPr>
      <w:ind w:left="0" w:firstLine="0"/>
    </w:pPr>
  </w:style>
  <w:style w:type="paragraph" w:customStyle="1" w:styleId="Fallo">
    <w:name w:val="Fallo"/>
    <w:basedOn w:val="Cita"/>
    <w:next w:val="Normal"/>
    <w:rPr>
      <w:i w:val="0"/>
    </w:rPr>
  </w:style>
  <w:style w:type="paragraph" w:customStyle="1" w:styleId="Margen">
    <w:name w:val="Margen"/>
    <w:basedOn w:val="Normal"/>
    <w:uiPriority w:val="99"/>
    <w:rsid w:val="00B3007E"/>
    <w:pPr>
      <w:ind w:left="0" w:firstLine="0"/>
    </w:pPr>
  </w:style>
  <w:style w:type="paragraph" w:customStyle="1" w:styleId="TITULO">
    <w:name w:val="TITULO"/>
    <w:basedOn w:val="Normal"/>
    <w:rsid w:val="000A499A"/>
    <w:pPr>
      <w:ind w:left="0" w:firstLine="0"/>
      <w:jc w:val="center"/>
    </w:pPr>
    <w:rPr>
      <w:b/>
      <w:smallCaps/>
      <w:sz w:val="28"/>
      <w:u w:val="single"/>
    </w:rPr>
  </w:style>
  <w:style w:type="paragraph" w:customStyle="1" w:styleId="Ttulocentrado">
    <w:name w:val="Títulocentrado"/>
    <w:basedOn w:val="Normal"/>
    <w:next w:val="Normal"/>
    <w:pPr>
      <w:spacing w:after="360" w:line="240" w:lineRule="auto"/>
      <w:ind w:left="0" w:firstLine="0"/>
      <w:jc w:val="center"/>
    </w:pPr>
    <w:rPr>
      <w:b/>
      <w:smallCaps/>
      <w:spacing w:val="40"/>
      <w:sz w:val="28"/>
      <w:u w:val="single"/>
    </w:rPr>
  </w:style>
  <w:style w:type="paragraph" w:customStyle="1" w:styleId="TituloMargen">
    <w:name w:val="Titulo Margen"/>
    <w:basedOn w:val="Margen"/>
    <w:next w:val="Normal"/>
    <w:pPr>
      <w:keepNext/>
    </w:pPr>
    <w:rPr>
      <w:b/>
      <w:u w:val="thick"/>
    </w:rPr>
  </w:style>
  <w:style w:type="paragraph" w:customStyle="1" w:styleId="Liquidacin">
    <w:name w:val="Liquidación"/>
    <w:basedOn w:val="Margen"/>
    <w:rsid w:val="00E23305"/>
    <w:pPr>
      <w:tabs>
        <w:tab w:val="left" w:pos="4253"/>
        <w:tab w:val="decimal" w:pos="5670"/>
        <w:tab w:val="decimal" w:pos="7088"/>
      </w:tabs>
      <w:spacing w:before="0" w:line="240" w:lineRule="auto"/>
      <w:ind w:left="284" w:right="170"/>
    </w:pPr>
  </w:style>
  <w:style w:type="paragraph" w:customStyle="1" w:styleId="NotaalPie">
    <w:name w:val="Nota al Pie"/>
    <w:basedOn w:val="Normal"/>
    <w:pPr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kern w:val="28"/>
      <w:sz w:val="20"/>
      <w:lang w:val="es-ES_tradnl"/>
    </w:rPr>
  </w:style>
  <w:style w:type="paragraph" w:styleId="Textonotapie">
    <w:name w:val="footnote text"/>
    <w:basedOn w:val="Normal"/>
    <w:semiHidden/>
    <w:pPr>
      <w:spacing w:line="120" w:lineRule="atLeast"/>
      <w:ind w:left="0" w:firstLine="0"/>
    </w:pPr>
    <w:rPr>
      <w:kern w:val="28"/>
      <w:sz w:val="20"/>
      <w:lang w:val="es-ES_tradnl"/>
    </w:rPr>
  </w:style>
  <w:style w:type="paragraph" w:customStyle="1" w:styleId="TtuloMargen">
    <w:name w:val="Título Margen"/>
    <w:basedOn w:val="Margen"/>
    <w:next w:val="Normal"/>
    <w:autoRedefine/>
    <w:rPr>
      <w:b/>
      <w:smallCaps/>
    </w:rPr>
  </w:style>
  <w:style w:type="paragraph" w:styleId="Encabezado">
    <w:name w:val="header"/>
    <w:basedOn w:val="Normal"/>
    <w:rsid w:val="004854F2"/>
    <w:pPr>
      <w:tabs>
        <w:tab w:val="center" w:pos="4252"/>
        <w:tab w:val="right" w:pos="8504"/>
      </w:tabs>
      <w:ind w:left="0"/>
    </w:pPr>
  </w:style>
  <w:style w:type="paragraph" w:styleId="Piedepgina">
    <w:name w:val="footer"/>
    <w:basedOn w:val="Normal"/>
    <w:rsid w:val="004854F2"/>
    <w:pPr>
      <w:tabs>
        <w:tab w:val="center" w:pos="4252"/>
        <w:tab w:val="right" w:pos="8504"/>
      </w:tabs>
      <w:ind w:left="0"/>
    </w:pPr>
  </w:style>
  <w:style w:type="character" w:styleId="Nmerodepgina">
    <w:name w:val="page number"/>
    <w:basedOn w:val="Fuentedeprrafopredeter"/>
    <w:rsid w:val="0048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Hojas%20Modelo%20(plantills)\Las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</Template>
  <TotalTime>3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--------------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Oscar Lerner</cp:lastModifiedBy>
  <cp:revision>1</cp:revision>
  <cp:lastPrinted>1900-01-01T03:00:00Z</cp:lastPrinted>
  <dcterms:created xsi:type="dcterms:W3CDTF">2025-02-05T14:45:00Z</dcterms:created>
  <dcterms:modified xsi:type="dcterms:W3CDTF">2025-02-05T14:48:00Z</dcterms:modified>
</cp:coreProperties>
</file>